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shd w:val="clear" w:color="auto" w:fill="e2efd9"/>
        <w:rPr>
          <w:rFonts w:ascii="PT Serif" w:hAnsi="PT Serif" w:eastAsia="PT Serif" w:cs="PT Serif"/>
          <w:b/>
          <w:sz w:val="28"/>
          <w:szCs w:val="28"/>
        </w:rPr>
      </w:pPr>
      <w:r>
        <w:rPr>
          <w:rFonts w:ascii="PT Serif" w:hAnsi="PT Serif" w:eastAsia="PT Serif" w:cs="PT Serif"/>
          <w:b/>
          <w:sz w:val="28"/>
          <w:szCs w:val="28"/>
          <w:rtl w:val="0"/>
        </w:rPr>
        <w:t xml:space="preserve">Согласие на получение рекламной рассылки</w:t>
      </w:r>
      <w:r>
        <w:rPr>
          <w:rFonts w:ascii="PT Serif" w:hAnsi="PT Serif" w:eastAsia="PT Serif" w:cs="PT Serif"/>
          <w:b/>
          <w:sz w:val="28"/>
          <w:szCs w:val="28"/>
        </w:rPr>
      </w:r>
    </w:p>
    <w:p>
      <w:pPr>
        <w:spacing w:line="276" w:lineRule="auto"/>
        <w:rPr>
          <w:rFonts w:ascii="PT Serif" w:hAnsi="PT Serif" w:eastAsia="PT Serif" w:cs="PT Serif"/>
        </w:rPr>
      </w:pPr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spacing w:line="276" w:lineRule="auto"/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152242"/>
          <w:rtl w:val="0"/>
        </w:rPr>
        <w:t xml:space="preserve">Во исполнение требований ч. 1 ст. 18 Федерального закона от 13.03.2006 N 38-ФЗ «О рекламе»,</w:t>
      </w:r>
      <w:r>
        <w:rPr>
          <w:rFonts w:ascii="PT Serif" w:hAnsi="PT Serif" w:eastAsia="PT Serif" w:cs="PT Serif"/>
          <w:rtl w:val="0"/>
        </w:rPr>
        <w:t xml:space="preserve"> действуя свободно, своей волей и в своем интересе, а также подтверждая свою правоспособность и дееспособность, я даю свое согласие Обществу с ограниченной ответственностью «МАСТЕРСКАЯ ПАРА» (ИНН 7813667202, КПП 781301001, ОГРН 1227800123121)</w:t>
      </w:r>
      <w:r>
        <w:rPr>
          <w:rFonts w:ascii="PT Serif" w:hAnsi="PT Serif" w:eastAsia="PT Serif" w:cs="PT Serif"/>
          <w:color w:val="242424"/>
          <w:rtl w:val="0"/>
        </w:rPr>
        <w:t xml:space="preserve"> (далее – «Оператор»)</w:t>
      </w:r>
      <w:r>
        <w:rPr>
          <w:rFonts w:ascii="PT Serif" w:hAnsi="PT Serif" w:eastAsia="PT Serif" w:cs="PT Serif"/>
          <w:color w:val="000000"/>
          <w:rtl w:val="0"/>
        </w:rPr>
        <w:t xml:space="preserve">, </w:t>
      </w:r>
      <w:r>
        <w:rPr>
          <w:rFonts w:ascii="PT Serif" w:hAnsi="PT Serif" w:eastAsia="PT Serif" w:cs="PT Serif"/>
          <w:rtl w:val="0"/>
        </w:rPr>
        <w:t xml:space="preserve">на получение рекламной рассылки по e-mail/номеру телефона, а также посредством мессенджеров/социальных сетей и иных каналов распространения рекламной рассылки.</w:t>
      </w:r>
      <w:r>
        <w:rPr>
          <w:rtl w:val="0"/>
        </w:rPr>
      </w:r>
      <w:r>
        <w:rPr>
          <w:rFonts w:ascii="PT Serif" w:hAnsi="PT Serif" w:eastAsia="PT Serif" w:cs="PT Serif"/>
          <w:color w:val="000000"/>
        </w:rPr>
      </w:r>
    </w:p>
    <w:p>
      <w:pPr>
        <w:spacing w:after="80" w:line="276" w:lineRule="auto"/>
        <w:rPr>
          <w:rFonts w:ascii="PT Serif" w:hAnsi="PT Serif" w:eastAsia="PT Serif" w:cs="PT Serif"/>
        </w:rPr>
      </w:pPr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rtl w:val="0"/>
        </w:rPr>
        <w:t xml:space="preserve">Согласие дается на получение р</w:t>
      </w:r>
      <w:r>
        <w:rPr>
          <w:rFonts w:ascii="PT Serif" w:hAnsi="PT Serif" w:eastAsia="PT Serif" w:cs="PT Serif"/>
          <w:color w:val="000000"/>
          <w:rtl w:val="0"/>
        </w:rPr>
        <w:t xml:space="preserve">екламн</w:t>
      </w:r>
      <w:r>
        <w:rPr>
          <w:rFonts w:ascii="PT Serif" w:hAnsi="PT Serif" w:eastAsia="PT Serif" w:cs="PT Serif"/>
          <w:rtl w:val="0"/>
        </w:rPr>
        <w:t xml:space="preserve">ых</w:t>
      </w:r>
      <w:r>
        <w:rPr>
          <w:rFonts w:ascii="PT Serif" w:hAnsi="PT Serif" w:eastAsia="PT Serif" w:cs="PT Serif"/>
          <w:color w:val="000000"/>
          <w:rtl w:val="0"/>
        </w:rPr>
        <w:t xml:space="preserve"> рассыл</w:t>
      </w:r>
      <w:r>
        <w:rPr>
          <w:rFonts w:ascii="PT Serif" w:hAnsi="PT Serif" w:eastAsia="PT Serif" w:cs="PT Serif"/>
          <w:rtl w:val="0"/>
        </w:rPr>
        <w:t xml:space="preserve">ок, которые могут</w:t>
      </w:r>
      <w:r>
        <w:rPr>
          <w:rFonts w:ascii="PT Serif" w:hAnsi="PT Serif" w:eastAsia="PT Serif" w:cs="PT Serif"/>
          <w:color w:val="000000"/>
          <w:rtl w:val="0"/>
        </w:rPr>
        <w:t xml:space="preserve"> содерж</w:t>
      </w:r>
      <w:r>
        <w:rPr>
          <w:rFonts w:ascii="PT Serif" w:hAnsi="PT Serif" w:eastAsia="PT Serif" w:cs="PT Serif"/>
          <w:rtl w:val="0"/>
        </w:rPr>
        <w:t xml:space="preserve">ать</w:t>
      </w:r>
      <w:r>
        <w:rPr>
          <w:rFonts w:ascii="PT Serif" w:hAnsi="PT Serif" w:eastAsia="PT Serif" w:cs="PT Serif"/>
          <w:color w:val="000000"/>
          <w:rtl w:val="0"/>
        </w:rPr>
        <w:t xml:space="preserve">: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информацию об услугах;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информацию о скидках и специальных предложениях;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информацию о новостях Оператора, об изменениях услуг, новых услугах;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приглашения на мероприятия;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анонсы мероприятий;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подборки с полезными материалами и рекомендациями;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иную информацию, связанную с деятельностью Оператора.</w:t>
      </w:r>
      <w:r>
        <w:rPr>
          <w:rFonts w:ascii="PT Serif" w:hAnsi="PT Serif" w:eastAsia="PT Serif" w:cs="PT Serif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Я согласен(а) квалифицировать в качестве простой электронной подписи под согласием выполнение мною одного или в совокупности следующих действий: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простановка символа в чек-боксе (в поле для ввода) рядом с текстом: «Я даю согласие на получение рекламной рассылки», либо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нажатие мною на элемент интерфейса с текстом «Оплатить» или аналогичного, что влечет за собой оплату услуг, либо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направления в ответ на предоставленные для ознакомления документы подтверждения о том, что я ознакомлен с условиями согласия и публичной оферты Исполнителя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Согласие действует с момента его предоставления и до момента отзыва.</w:t>
      </w:r>
      <w:r>
        <w:rPr>
          <w:rFonts w:ascii="PT Serif" w:hAnsi="PT Serif" w:eastAsia="PT Serif" w:cs="PT Serif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Я вправе отозвать согласие путем: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направления Оператору заявления в форме электронного документа по e-mail </w:t>
      </w:r>
      <w:hyperlink r:id="rId14" w:tooltip="mailto:info@mpara.ru" w:history="1">
        <w:r>
          <w:rPr>
            <w:rFonts w:ascii="PT Serif" w:hAnsi="PT Serif" w:eastAsia="PT Serif" w:cs="PT Serif"/>
            <w:color w:val="0563c1"/>
            <w:u w:val="single"/>
            <w:rtl w:val="0"/>
          </w:rPr>
          <w:t xml:space="preserve">info@mpara.ru</w:t>
        </w:r>
      </w:hyperlink>
      <w:r>
        <w:rPr>
          <w:rFonts w:ascii="PT Serif" w:hAnsi="PT Serif" w:eastAsia="PT Serif" w:cs="PT Serif"/>
          <w:rtl w:val="0"/>
        </w:rPr>
        <w:t xml:space="preserve"> пометкой «Отказ от рекламных рассылок». Оператор прекращает отправку рекламных сообщений в течение 3 рабочих дней с момента получения запроса;</w:t>
      </w:r>
      <w:r>
        <w:rPr>
          <w:rFonts w:ascii="PT Serif" w:hAnsi="PT Serif" w:eastAsia="PT Serif" w:cs="PT Serif"/>
        </w:rPr>
      </w:r>
    </w:p>
    <w:p>
      <w:pPr>
        <w:numPr>
          <w:ilvl w:val="1"/>
          <w:numId w:val="1"/>
        </w:numPr>
        <w:ind w:left="811" w:hanging="454"/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самостоятельной отписки от рассылки, нажав на ссылку для отписки.</w:t>
      </w:r>
      <w:r>
        <w:rPr>
          <w:rFonts w:ascii="PT Serif" w:hAnsi="PT Serif" w:eastAsia="PT Serif" w:cs="PT Serif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PT Serif" w:cs="PT Serif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rtl w:val="0"/>
        </w:rPr>
        <w:t xml:space="preserve">Я согласен(а) на получение рекламных рассылок через специализированные платформы, сервисы и площадки, используемые Оператором. 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</w:rPr>
      </w:pPr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  <w:b/>
        </w:rPr>
      </w:pPr>
      <w:r>
        <w:rPr>
          <w:rFonts w:ascii="PT Serif" w:hAnsi="PT Serif" w:eastAsia="PT Serif" w:cs="PT Serif"/>
          <w:b/>
          <w:rtl w:val="0"/>
        </w:rPr>
        <w:t xml:space="preserve">Реквизиты:</w:t>
      </w:r>
      <w:r>
        <w:rPr>
          <w:rFonts w:ascii="PT Serif" w:hAnsi="PT Serif" w:eastAsia="PT Serif" w:cs="PT Serif"/>
          <w:b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Общество с ограниченной ответственностью «МАСТЕРСКАЯ ПАРА» </w:t>
      </w:r>
      <w:r>
        <w:rPr>
          <w:rFonts w:ascii="PT Serif" w:hAnsi="PT Serif" w:eastAsia="PT Serif" w:cs="PT Serif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Юридический адрес: 197136, г. Санкт-Петербург, Муниципальный округ Аптекарский остров, проспект Большой П.С., д.84, литера А, помещ. 16 - Н</w:t>
      </w:r>
      <w:r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ИНН 7813667202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КПП 781301001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ОГРН 1227800123121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Расчетный счет: 40702810600000034561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Банк: АО БАНК "ПСКБ"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БИК: 044030852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Корр. счет: 30101810000000000852</w:t>
      </w:r>
      <w:r>
        <w:rPr>
          <w:rFonts w:ascii="PT Serif" w:hAnsi="PT Serif" w:eastAsia="PT Serif" w:cs="PT Serif"/>
          <w:color w:val="000000"/>
        </w:rPr>
      </w:r>
    </w:p>
    <w:p>
      <w:pPr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e-mail: </w:t>
      </w:r>
      <w:hyperlink r:id="rId15" w:tooltip="mailto:info@mpara.ru" w:history="1">
        <w:r>
          <w:rPr>
            <w:rFonts w:ascii="PT Serif" w:hAnsi="PT Serif" w:eastAsia="PT Serif" w:cs="PT Serif"/>
            <w:color w:val="0563c1"/>
            <w:u w:val="single"/>
            <w:rtl w:val="0"/>
          </w:rPr>
          <w:t xml:space="preserve">info@mpara.ru</w:t>
        </w:r>
      </w:hyperlink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spacing w:after="80" w:line="276" w:lineRule="auto"/>
        <w:rPr>
          <w:rFonts w:ascii="PT Serif" w:hAnsi="PT Serif" w:eastAsia="PT Serif" w:cs="PT Serif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PT Serif" w:hAnsi="PT Serif" w:eastAsia="PT Serif" w:cs="PT Serif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B060403050404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Helvetica Neue">
    <w:panose1 w:val="020B060403050404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  <w:p>
    <w:pPr>
      <w:ind w:left="0" w:right="36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  <w:p>
    <w:pPr>
      <w:ind w:left="0" w:right="36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rFonts w:ascii="Helvetica Neue" w:hAnsi="Helvetica Neue" w:eastAsia="Helvetica Neue" w:cs="Helvetica Neue"/>
        <w:color w:val="000000"/>
        <w:sz w:val="21"/>
        <w:szCs w:val="21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1"/>
        <w:szCs w:val="21"/>
      </w:rPr>
    </w:r>
  </w:p>
  <w:p>
    <w:pPr>
      <w:tabs>
        <w:tab w:val="center" w:pos="4513" w:leader="none"/>
        <w:tab w:val="right" w:pos="9026" w:leader="none"/>
      </w:tabs>
      <w:rPr>
        <w:rFonts w:ascii="Helvetica Neue" w:hAnsi="Helvetica Neue" w:eastAsia="Helvetica Neue" w:cs="Helvetica Neue"/>
        <w:color w:val="000000"/>
        <w:sz w:val="21"/>
        <w:szCs w:val="21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1"/>
        <w:szCs w:val="2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color w:val="000000"/>
      </w:rPr>
    </w:r>
  </w:p>
  <w:p>
    <w:pPr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Serif" w:hAnsi="PT Serif" w:eastAsia="PT Serif" w:cs="PT Serif"/>
        <w:b w:val="0"/>
        <w:i w:val="0"/>
        <w:sz w:val="24"/>
        <w:szCs w:val="24"/>
      </w:rPr>
    </w:lvl>
    <w:lvl w:ilvl="1">
      <w:start w:val="1"/>
      <w:numFmt w:val="decimal"/>
      <w:isLgl w:val="false"/>
      <w:suff w:val="tab"/>
      <w:lvlText w:val="(%2)"/>
      <w:lvlJc w:val="left"/>
      <w:pPr>
        <w:ind w:left="786" w:hanging="360"/>
      </w:pPr>
      <w:rPr>
        <w:rFonts w:ascii="PT Serif" w:hAnsi="PT Serif" w:eastAsia="PT Serif" w:cs="PT Serif"/>
        <w:b w:val="0"/>
        <w:i w:val="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4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4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4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4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4"/>
    <w:link w:val="697"/>
    <w:uiPriority w:val="10"/>
    <w:rPr>
      <w:sz w:val="48"/>
      <w:szCs w:val="48"/>
    </w:rPr>
  </w:style>
  <w:style w:type="character" w:styleId="37">
    <w:name w:val="Subtitle Char"/>
    <w:basedOn w:val="694"/>
    <w:link w:val="722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05"/>
    <w:uiPriority w:val="99"/>
  </w:style>
  <w:style w:type="character" w:styleId="45">
    <w:name w:val="Footer Char"/>
    <w:basedOn w:val="694"/>
    <w:link w:val="708"/>
    <w:uiPriority w:val="99"/>
  </w:style>
  <w:style w:type="paragraph" w:styleId="46">
    <w:name w:val="Caption"/>
    <w:basedOn w:val="687"/>
    <w:next w:val="68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78">
    <w:name w:val="Normal"/>
  </w:style>
  <w:style w:type="table" w:styleId="679">
    <w:name w:val="Table Normal"/>
    <w:tblPr/>
  </w:style>
  <w:style w:type="paragraph" w:styleId="680">
    <w:name w:val="Heading 1"/>
    <w:basedOn w:val="678"/>
    <w:next w:val="678"/>
    <w:pPr>
      <w:keepLines/>
      <w:keepNext/>
      <w:spacing w:before="480" w:after="120"/>
    </w:pPr>
    <w:rPr>
      <w:b/>
      <w:sz w:val="48"/>
      <w:szCs w:val="48"/>
    </w:rPr>
  </w:style>
  <w:style w:type="paragraph" w:styleId="681">
    <w:name w:val="Heading 2"/>
    <w:basedOn w:val="678"/>
    <w:next w:val="678"/>
    <w:pPr>
      <w:keepLines/>
      <w:keepNext/>
      <w:spacing w:before="360" w:after="80"/>
    </w:pPr>
    <w:rPr>
      <w:b/>
      <w:sz w:val="36"/>
      <w:szCs w:val="36"/>
    </w:rPr>
  </w:style>
  <w:style w:type="paragraph" w:styleId="682">
    <w:name w:val="Heading 3"/>
    <w:basedOn w:val="678"/>
    <w:next w:val="678"/>
    <w:pPr>
      <w:keepLines/>
      <w:keepNext/>
      <w:spacing w:before="280" w:after="80"/>
    </w:pPr>
    <w:rPr>
      <w:b/>
      <w:sz w:val="28"/>
      <w:szCs w:val="28"/>
    </w:rPr>
  </w:style>
  <w:style w:type="paragraph" w:styleId="683">
    <w:name w:val="Heading 4"/>
    <w:basedOn w:val="678"/>
    <w:next w:val="678"/>
    <w:pPr>
      <w:keepLines/>
      <w:keepNext/>
      <w:spacing w:before="240" w:after="40"/>
    </w:pPr>
    <w:rPr>
      <w:b/>
    </w:rPr>
  </w:style>
  <w:style w:type="paragraph" w:styleId="684">
    <w:name w:val="Heading 5"/>
    <w:basedOn w:val="678"/>
    <w:next w:val="678"/>
    <w:pPr>
      <w:keepLines/>
      <w:keepNext/>
      <w:spacing w:before="220" w:after="40"/>
    </w:pPr>
    <w:rPr>
      <w:b/>
      <w:sz w:val="22"/>
      <w:szCs w:val="22"/>
    </w:rPr>
  </w:style>
  <w:style w:type="paragraph" w:styleId="685">
    <w:name w:val="Heading 6"/>
    <w:basedOn w:val="678"/>
    <w:next w:val="678"/>
    <w:pPr>
      <w:keepLines/>
      <w:keepNext/>
      <w:spacing w:before="200" w:after="40"/>
    </w:pPr>
    <w:rPr>
      <w:b/>
      <w:sz w:val="20"/>
      <w:szCs w:val="20"/>
    </w:rPr>
  </w:style>
  <w:style w:type="paragraph" w:styleId="686">
    <w:name w:val="Title"/>
    <w:basedOn w:val="678"/>
    <w:next w:val="678"/>
    <w:pPr>
      <w:keepLines/>
      <w:keepNext/>
      <w:spacing w:before="480" w:after="120"/>
    </w:pPr>
    <w:rPr>
      <w:b/>
      <w:sz w:val="72"/>
      <w:szCs w:val="72"/>
    </w:rPr>
  </w:style>
  <w:style w:type="paragraph" w:styleId="687">
    <w:name w:val="Normal"/>
    <w:qFormat/>
  </w:style>
  <w:style w:type="paragraph" w:styleId="688">
    <w:name w:val="Heading 1"/>
    <w:basedOn w:val="687"/>
    <w:next w:val="687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9">
    <w:name w:val="Heading 2"/>
    <w:basedOn w:val="687"/>
    <w:next w:val="68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0">
    <w:name w:val="Heading 3"/>
    <w:basedOn w:val="687"/>
    <w:next w:val="68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1">
    <w:name w:val="Heading 4"/>
    <w:basedOn w:val="687"/>
    <w:next w:val="687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92">
    <w:name w:val="Heading 5"/>
    <w:basedOn w:val="687"/>
    <w:next w:val="687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93">
    <w:name w:val="Heading 6"/>
    <w:basedOn w:val="687"/>
    <w:next w:val="68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Title"/>
    <w:basedOn w:val="687"/>
    <w:next w:val="68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98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Table Normal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Table Grid"/>
    <w:basedOn w:val="69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>
    <w:name w:val="Hyperlink"/>
    <w:basedOn w:val="694"/>
    <w:uiPriority w:val="99"/>
    <w:unhideWhenUsed/>
    <w:rPr>
      <w:color w:val="0563c1" w:themeColor="hyperlink"/>
      <w:u w:val="single"/>
    </w:rPr>
  </w:style>
  <w:style w:type="character" w:styleId="703">
    <w:name w:val="Unresolved Mention"/>
    <w:basedOn w:val="694"/>
    <w:uiPriority w:val="99"/>
    <w:semiHidden/>
    <w:unhideWhenUsed/>
    <w:rPr>
      <w:color w:val="605e5c"/>
      <w:shd w:val="clear" w:color="auto" w:fill="e1dfdd"/>
    </w:rPr>
  </w:style>
  <w:style w:type="paragraph" w:styleId="704">
    <w:name w:val="List Paragraph"/>
    <w:basedOn w:val="687"/>
    <w:uiPriority w:val="34"/>
    <w:qFormat/>
    <w:pPr>
      <w:contextualSpacing/>
      <w:ind w:left="720"/>
    </w:pPr>
  </w:style>
  <w:style w:type="paragraph" w:styleId="705">
    <w:name w:val="Header"/>
    <w:basedOn w:val="687"/>
    <w:link w:val="706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06" w:customStyle="1">
    <w:name w:val="Верхний колонтитул Знак"/>
    <w:basedOn w:val="694"/>
    <w:link w:val="705"/>
    <w:uiPriority w:val="99"/>
  </w:style>
  <w:style w:type="character" w:styleId="707">
    <w:name w:val="page number"/>
    <w:basedOn w:val="694"/>
    <w:uiPriority w:val="99"/>
    <w:semiHidden/>
    <w:unhideWhenUsed/>
  </w:style>
  <w:style w:type="paragraph" w:styleId="708">
    <w:name w:val="Footer"/>
    <w:basedOn w:val="687"/>
    <w:link w:val="709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09" w:customStyle="1">
    <w:name w:val="Нижний колонтитул Знак"/>
    <w:basedOn w:val="694"/>
    <w:link w:val="708"/>
    <w:uiPriority w:val="99"/>
  </w:style>
  <w:style w:type="paragraph" w:styleId="710">
    <w:name w:val="Subtitle"/>
    <w:basedOn w:val="687"/>
    <w:next w:val="68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11" w:customStyle="1">
    <w:name w:val="StGen0"/>
    <w:basedOn w:val="695"/>
    <w:tblPr>
      <w:tblStyleRowBandSize w:val="1"/>
      <w:tblStyleColBandSize w:val="1"/>
    </w:tblPr>
  </w:style>
  <w:style w:type="table" w:styleId="712" w:customStyle="1">
    <w:name w:val="StGen1"/>
    <w:basedOn w:val="6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3" w:customStyle="1">
    <w:name w:val="StGen2"/>
    <w:basedOn w:val="69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714">
    <w:name w:val="FollowedHyperlink"/>
    <w:basedOn w:val="694"/>
    <w:uiPriority w:val="99"/>
    <w:semiHidden/>
    <w:unhideWhenUsed/>
    <w:rPr>
      <w:color w:val="954f72" w:themeColor="followedHyperlink"/>
      <w:u w:val="single"/>
    </w:rPr>
  </w:style>
  <w:style w:type="character" w:styleId="715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716">
    <w:name w:val="annotation text"/>
    <w:basedOn w:val="687"/>
    <w:link w:val="717"/>
    <w:uiPriority w:val="99"/>
    <w:semiHidden/>
    <w:unhideWhenUsed/>
    <w:rPr>
      <w:sz w:val="20"/>
      <w:szCs w:val="20"/>
    </w:rPr>
  </w:style>
  <w:style w:type="character" w:styleId="717" w:customStyle="1">
    <w:name w:val="Текст примечания Знак"/>
    <w:basedOn w:val="694"/>
    <w:link w:val="716"/>
    <w:uiPriority w:val="99"/>
    <w:semiHidden/>
    <w:rPr>
      <w:sz w:val="20"/>
      <w:szCs w:val="20"/>
    </w:rPr>
  </w:style>
  <w:style w:type="paragraph" w:styleId="718">
    <w:name w:val="annotation subject"/>
    <w:basedOn w:val="716"/>
    <w:next w:val="716"/>
    <w:link w:val="719"/>
    <w:uiPriority w:val="99"/>
    <w:semiHidden/>
    <w:unhideWhenUsed/>
    <w:rPr>
      <w:b/>
      <w:bCs/>
    </w:rPr>
  </w:style>
  <w:style w:type="character" w:styleId="719" w:customStyle="1">
    <w:name w:val="Тема примечания Знак"/>
    <w:basedOn w:val="717"/>
    <w:link w:val="718"/>
    <w:uiPriority w:val="99"/>
    <w:semiHidden/>
    <w:rPr>
      <w:b/>
      <w:bCs/>
      <w:sz w:val="20"/>
      <w:szCs w:val="20"/>
    </w:rPr>
  </w:style>
  <w:style w:type="table" w:styleId="720" w:customStyle="1">
    <w:name w:val="StGen3"/>
    <w:basedOn w:val="69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721" w:customStyle="1">
    <w:name w:val="p1"/>
    <w:basedOn w:val="687"/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styleId="722">
    <w:name w:val="Subtitle"/>
    <w:basedOn w:val="678"/>
    <w:next w:val="67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mailto:info@mpara.ru" TargetMode="External"/><Relationship Id="rId15" Type="http://schemas.openxmlformats.org/officeDocument/2006/relationships/hyperlink" Target="mailto:info@mpar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oxNalpx4I59LGu8feqHGgNprQ==">CgMxLjA4AHIhMXpWRDFqakVuWlY4ZG1kdDNoV05LUXVIRWJQbS1iblRT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F</dc:creator>
  <cp:lastModifiedBy>Александр Широких</cp:lastModifiedBy>
  <cp:revision>1</cp:revision>
  <dcterms:created xsi:type="dcterms:W3CDTF">2025-04-30T09:39:00Z</dcterms:created>
  <dcterms:modified xsi:type="dcterms:W3CDTF">2025-05-05T12:21:51Z</dcterms:modified>
</cp:coreProperties>
</file>